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99" w:rsidRPr="00690399" w:rsidRDefault="00690399" w:rsidP="00690399">
      <w:pPr>
        <w:shd w:val="clear" w:color="auto" w:fill="E6E6E6"/>
        <w:spacing w:after="0" w:line="240" w:lineRule="auto"/>
        <w:jc w:val="center"/>
        <w:outlineLvl w:val="0"/>
        <w:rPr>
          <w:rFonts w:ascii="PTSerif-Caption" w:eastAsia="Times New Roman" w:hAnsi="PTSerif-Caption" w:cs="Times New Roman"/>
          <w:color w:val="000000"/>
          <w:kern w:val="36"/>
          <w:sz w:val="36"/>
          <w:szCs w:val="36"/>
          <w:lang w:eastAsia="ru-RU"/>
        </w:rPr>
      </w:pPr>
      <w:r w:rsidRPr="00690399">
        <w:rPr>
          <w:rFonts w:ascii="PTSerif-Caption" w:eastAsia="Times New Roman" w:hAnsi="PTSerif-Caption" w:cs="Times New Roman"/>
          <w:color w:val="000000"/>
          <w:kern w:val="36"/>
          <w:sz w:val="36"/>
          <w:szCs w:val="36"/>
          <w:lang w:eastAsia="ru-RU"/>
        </w:rPr>
        <w:t>Внедрение стандарта развития конкуренции на территории Кировской области</w:t>
      </w:r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eastAsia="Times New Roman" w:cs="Times New Roman"/>
          <w:color w:val="010101"/>
          <w:sz w:val="21"/>
          <w:szCs w:val="21"/>
          <w:lang w:eastAsia="ru-RU"/>
        </w:rPr>
      </w:pPr>
      <w:bookmarkStart w:id="0" w:name="_GoBack"/>
      <w:bookmarkEnd w:id="0"/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Стандарт развития конкуренции в субъектах Российской Федерации (далее соответственно - стандарт, конкуренция) разработан в рамках реализации </w:t>
      </w:r>
      <w:hyperlink r:id="rId5" w:history="1">
        <w:r w:rsidRPr="00690399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ru-RU"/>
          </w:rPr>
          <w:t>пункта 7</w:t>
        </w:r>
      </w:hyperlink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 и </w:t>
      </w:r>
      <w:hyperlink r:id="rId6" w:history="1">
        <w:r w:rsidRPr="00690399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ru-RU"/>
          </w:rPr>
          <w:t>подпункта «в» пункта 8</w:t>
        </w:r>
      </w:hyperlink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 Указа Президента Российской Федерации от 21 декабря 2017 года № 618 «Об основных направлениях государственной политики по развитию конкуренции».</w:t>
      </w:r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Целями стандарта являются:</w:t>
      </w:r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-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 xml:space="preserve">- содействие формированию прозрачной системы </w:t>
      </w:r>
      <w:proofErr w:type="gramStart"/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работы органов исполнительной власти субъектов Российской Федерации</w:t>
      </w:r>
      <w:proofErr w:type="gramEnd"/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 xml:space="preserve">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общества;</w:t>
      </w:r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- выявление потенциала развития экономики Российской Федерации, включая научно-технологический и человеческий потенциал;</w:t>
      </w:r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- создание стимулов и содействие формированию условий для развития, поддержки и защиты субъектов малого и среднего предпринимательства, повышения уровня конкурентоспособности их продукции, а также содействие устранению административных барьеров;</w:t>
      </w:r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- поддержание и развитие единого экономического пространства Российской Федерации, рост производительности труда и диверсификация экономики;</w:t>
      </w:r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- повышение доступности финансовых услуг для субъектов экономической деятельности;</w:t>
      </w:r>
    </w:p>
    <w:p w:rsidR="00690399" w:rsidRPr="00690399" w:rsidRDefault="00690399" w:rsidP="00690399">
      <w:pPr>
        <w:shd w:val="clear" w:color="auto" w:fill="E6E6E6"/>
        <w:spacing w:after="150"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- преодоление и минимизация влияния несовершенной конкуренции на инфляцию;</w:t>
      </w:r>
    </w:p>
    <w:p w:rsidR="00690399" w:rsidRPr="00690399" w:rsidRDefault="00690399" w:rsidP="00690399">
      <w:pPr>
        <w:shd w:val="clear" w:color="auto" w:fill="E6E6E6"/>
        <w:spacing w:line="240" w:lineRule="auto"/>
        <w:jc w:val="both"/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</w:pPr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 xml:space="preserve">- содействие каждым субъектом Российской Федерации развитию конкуренции на товарных рынках, определяемых в соответствии с антимонопольным законодательством 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</w:t>
      </w:r>
      <w:proofErr w:type="gramStart"/>
      <w:r w:rsidRPr="00690399">
        <w:rPr>
          <w:rFonts w:ascii="Helvetica" w:eastAsia="Times New Roman" w:hAnsi="Helvetica" w:cs="Times New Roman"/>
          <w:color w:val="010101"/>
          <w:sz w:val="21"/>
          <w:szCs w:val="21"/>
          <w:lang w:eastAsia="ru-RU"/>
        </w:rPr>
        <w:t>Под товарным рынком в стандарте понимается сфера обращения товара, работы, услуги, 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  <w:proofErr w:type="gramEnd"/>
    </w:p>
    <w:p w:rsidR="0027755D" w:rsidRDefault="0027755D"/>
    <w:sectPr w:rsidR="0027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erif-Captio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99"/>
    <w:rsid w:val="0027755D"/>
    <w:rsid w:val="006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0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5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219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80419">
                  <w:marLeft w:val="0"/>
                  <w:marRight w:val="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BE706C2AFA540966FCFD3C6DBA4737A400741F9A1E1B8AD2C1319955244DFC86A96571FC440FC9839FE83212024584FA5C320F76EF7599dCa1L" TargetMode="External"/><Relationship Id="rId5" Type="http://schemas.openxmlformats.org/officeDocument/2006/relationships/hyperlink" Target="consultantplus://offline/ref=FFBE706C2AFA540966FCFD3C6DBA4737A400741F9A1E1B8AD2C1319955244DFC86A96571FC440FCE899FE83212024584FA5C320F76EF7599dCa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2022-01-24T08:23:00Z</dcterms:created>
  <dcterms:modified xsi:type="dcterms:W3CDTF">2022-01-24T08:24:00Z</dcterms:modified>
</cp:coreProperties>
</file>